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Consultation Comments from the Swefling Parish Council    4</w:t>
      </w:r>
      <w:r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August 2022</w:t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Swefling Parish Council has considered all the points made in the Consultation: Draft Housing in Clusters and Small Scale Residential Development in the Countryside Supplementary Planning Document.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Whilst new development may help local housing needs, there are currently no such identified requests made known to Swefling Parish Council. Importantly, there are no facilities or services within 3 miles that would sustain any further development.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We are very much ‘Open Countryside’ and feel no need to make any changes to the Parish of Swefling.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In the recent past, planners have not recognised the Parish Council’s view</w:t>
      </w:r>
      <w:r>
        <w:rPr>
          <w:sz w:val="28"/>
          <w:szCs w:val="28"/>
          <w:u w:val="none"/>
        </w:rPr>
        <w:t>s</w:t>
      </w:r>
      <w:r>
        <w:rPr>
          <w:sz w:val="28"/>
          <w:szCs w:val="28"/>
          <w:u w:val="none"/>
        </w:rPr>
        <w:t xml:space="preserve"> expressed regarding particular planning applications. Swefling’s Register of Non-designated Heritage Assets has not been acknowledged, see attachment, relating to Suffolk Coastal Local Plan 11.34 – 11.37. As a Parish Council, </w:t>
      </w:r>
      <w:r>
        <w:rPr>
          <w:sz w:val="28"/>
          <w:szCs w:val="28"/>
          <w:u w:val="none"/>
        </w:rPr>
        <w:t>t</w:t>
      </w:r>
      <w:r>
        <w:rPr>
          <w:sz w:val="28"/>
          <w:szCs w:val="28"/>
          <w:u w:val="none"/>
        </w:rPr>
        <w:t xml:space="preserve">he feeling is we do not want any more heritage assets to be lost to the village, as in the loss of historical assets in recent applications. </w:t>
      </w:r>
      <w:r>
        <w:rPr>
          <w:sz w:val="28"/>
          <w:szCs w:val="28"/>
          <w:u w:val="none"/>
        </w:rPr>
        <w:t>East Suffolk District Council should have the attached file on their records, but Swefling Parish Council intends to review their ‘Non-designated Heritage Assets’ in the near future.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If the new policy is to allow infilling, this needs to be in the spirit of Swefling Parish Council’s identified amenities and quiet landscapes which characterise this village.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bidi w:val="0"/>
        <w:jc w:val="righ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Clerk to Swefling Parish Council</w:t>
      </w:r>
    </w:p>
    <w:p>
      <w:pPr>
        <w:pStyle w:val="Normal"/>
        <w:bidi w:val="0"/>
        <w:jc w:val="right"/>
        <w:rPr/>
      </w:pPr>
      <w:r>
        <w:rPr>
          <w:rStyle w:val="InternetLink"/>
          <w:sz w:val="28"/>
          <w:szCs w:val="28"/>
          <w:u w:val="none"/>
        </w:rPr>
        <w:t>sweflingpclerk@outlook.com</w:t>
      </w:r>
    </w:p>
    <w:p>
      <w:pPr>
        <w:pStyle w:val="Normal"/>
        <w:bidi w:val="0"/>
        <w:jc w:val="righ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Bea Whittleton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</TotalTime>
  <Application>LibreOffice/7.3.4.2$Windows_X86_64 LibreOffice_project/728fec16bd5f605073805c3c9e7c4212a0120dc5</Application>
  <AppVersion>15.0000</AppVersion>
  <Pages>1</Pages>
  <Words>224</Words>
  <Characters>1270</Characters>
  <CharactersWithSpaces>1489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2022-08-04T15:36:59Z</dcterms:created>
  <dc:creator/>
  <dc:description/>
  <dc:language>en-GB</dc:language>
  <cp:lastModifiedBy/>
  <dcterms:modified xsi:type="dcterms:W3CDTF">2022-08-05T09:33:34Z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